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B2B49">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黑体简体" w:cs="Times New Roman"/>
          <w:color w:val="auto"/>
          <w:sz w:val="32"/>
          <w:szCs w:val="32"/>
          <w:lang w:val="en-US" w:eastAsia="zh-CN"/>
        </w:rPr>
      </w:pPr>
      <w:r>
        <w:rPr>
          <w:rFonts w:hint="default" w:ascii="Times New Roman" w:hAnsi="Times New Roman" w:eastAsia="方正黑体简体" w:cs="Times New Roman"/>
          <w:color w:val="auto"/>
          <w:sz w:val="32"/>
          <w:szCs w:val="32"/>
          <w:lang w:eastAsia="zh-CN"/>
        </w:rPr>
        <w:t>附件</w:t>
      </w:r>
      <w:r>
        <w:rPr>
          <w:rFonts w:hint="default" w:ascii="Times New Roman" w:hAnsi="Times New Roman" w:eastAsia="方正黑体简体" w:cs="Times New Roman"/>
          <w:color w:val="auto"/>
          <w:sz w:val="32"/>
          <w:szCs w:val="32"/>
          <w:lang w:val="en-US" w:eastAsia="zh-CN"/>
        </w:rPr>
        <w:t>16</w:t>
      </w:r>
    </w:p>
    <w:p w14:paraId="388D0B37">
      <w:pPr>
        <w:jc w:val="center"/>
        <w:rPr>
          <w:rFonts w:hint="eastAsia" w:ascii="Times New Roman" w:hAnsi="Times New Roman" w:eastAsia="方正小标宋简体"/>
          <w:color w:val="auto"/>
          <w:sz w:val="44"/>
          <w:szCs w:val="44"/>
          <w:lang w:val="en-US" w:eastAsia="zh-CN"/>
        </w:rPr>
      </w:pPr>
      <w:r>
        <w:rPr>
          <w:rFonts w:hint="eastAsia" w:ascii="Times New Roman" w:hAnsi="Times New Roman" w:eastAsia="方正小标宋简体"/>
          <w:color w:val="auto"/>
          <w:sz w:val="44"/>
          <w:szCs w:val="44"/>
          <w:lang w:eastAsia="zh-CN"/>
        </w:rPr>
        <w:t>达州市通川区</w:t>
      </w:r>
      <w:r>
        <w:rPr>
          <w:rFonts w:hint="eastAsia" w:ascii="Times New Roman" w:hAnsi="Times New Roman" w:eastAsia="方正小标宋简体"/>
          <w:color w:val="auto"/>
          <w:sz w:val="44"/>
          <w:szCs w:val="44"/>
          <w:lang w:val="en-US" w:eastAsia="zh-CN"/>
        </w:rPr>
        <w:t>梓桐镇人民政府</w:t>
      </w:r>
      <w:r>
        <w:rPr>
          <w:rFonts w:ascii="Times New Roman" w:hAnsi="Times New Roman" w:eastAsia="方正小标宋简体"/>
          <w:color w:val="auto"/>
          <w:sz w:val="44"/>
          <w:szCs w:val="44"/>
        </w:rPr>
        <w:t>行政执法事项目录清单</w:t>
      </w:r>
      <w:bookmarkStart w:id="0" w:name="_GoBack"/>
      <w:bookmarkEnd w:id="0"/>
    </w:p>
    <w:tbl>
      <w:tblPr>
        <w:tblStyle w:val="6"/>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4"/>
        <w:gridCol w:w="5808"/>
        <w:gridCol w:w="1164"/>
        <w:gridCol w:w="3882"/>
        <w:gridCol w:w="1034"/>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494"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序号</w:t>
            </w:r>
          </w:p>
        </w:tc>
        <w:tc>
          <w:tcPr>
            <w:tcW w:w="5808"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事项名称</w:t>
            </w:r>
          </w:p>
        </w:tc>
        <w:tc>
          <w:tcPr>
            <w:tcW w:w="1164"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事项类型</w:t>
            </w:r>
          </w:p>
        </w:tc>
        <w:tc>
          <w:tcPr>
            <w:tcW w:w="3882"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执法依据</w:t>
            </w:r>
          </w:p>
        </w:tc>
        <w:tc>
          <w:tcPr>
            <w:tcW w:w="1034"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494" w:type="dxa"/>
            <w:noWrap w:val="0"/>
            <w:vAlign w:val="center"/>
          </w:tcPr>
          <w:p w14:paraId="28BC34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C4957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164" w:type="dxa"/>
            <w:noWrap w:val="0"/>
            <w:vAlign w:val="center"/>
          </w:tcPr>
          <w:p w14:paraId="5233E74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9F45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034" w:type="dxa"/>
            <w:noWrap w:val="0"/>
            <w:vAlign w:val="center"/>
          </w:tcPr>
          <w:p w14:paraId="2D5D0FA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5B409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9B7E2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494" w:type="dxa"/>
            <w:noWrap w:val="0"/>
            <w:vAlign w:val="center"/>
          </w:tcPr>
          <w:p w14:paraId="2BED62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D85F6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164" w:type="dxa"/>
            <w:noWrap w:val="0"/>
            <w:vAlign w:val="center"/>
          </w:tcPr>
          <w:p w14:paraId="63921C9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32D69C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19E22E8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034"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AADE19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668113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164" w:type="dxa"/>
            <w:noWrap w:val="0"/>
            <w:vAlign w:val="center"/>
          </w:tcPr>
          <w:p w14:paraId="0ED9074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6C5A4CE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44F915D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034"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FEEA92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F5C46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164" w:type="dxa"/>
            <w:noWrap w:val="0"/>
            <w:vAlign w:val="center"/>
          </w:tcPr>
          <w:p w14:paraId="372FA01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A37FD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7DFC05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034"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0A48E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9292AC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164" w:type="dxa"/>
            <w:noWrap w:val="0"/>
            <w:vAlign w:val="center"/>
          </w:tcPr>
          <w:p w14:paraId="43B72EB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E97D9E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034"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F5E6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1B16B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164" w:type="dxa"/>
            <w:noWrap w:val="0"/>
            <w:vAlign w:val="center"/>
          </w:tcPr>
          <w:p w14:paraId="368BDB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28635B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034"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2FC0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6B1E20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200797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11"/>
                <w:sz w:val="24"/>
                <w:szCs w:val="24"/>
              </w:rPr>
              <w:t>对城乡环境综合治理责任人不履行义务，责任区的容貌秩序、环境卫生未达</w:t>
            </w:r>
            <w:r>
              <w:rPr>
                <w:rFonts w:hint="default" w:ascii="Times New Roman" w:hAnsi="Times New Roman" w:eastAsia="方正仿宋简体" w:cs="Times New Roman"/>
                <w:color w:val="auto"/>
                <w:spacing w:val="-10"/>
                <w:sz w:val="24"/>
                <w:szCs w:val="24"/>
              </w:rPr>
              <w:t>到有关标准的行政处罚</w:t>
            </w:r>
          </w:p>
        </w:tc>
        <w:tc>
          <w:tcPr>
            <w:tcW w:w="1164" w:type="dxa"/>
            <w:noWrap w:val="0"/>
            <w:vAlign w:val="center"/>
          </w:tcPr>
          <w:p w14:paraId="44C2198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8AB8E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《四川省城乡环境综合治理条例》第六十四条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城乡环境综合治理责任人不履</w:t>
            </w:r>
            <w:r>
              <w:rPr>
                <w:rFonts w:hint="default" w:ascii="Times New Roman" w:hAnsi="Times New Roman" w:eastAsia="方正仿宋简体" w:cs="Times New Roman"/>
                <w:color w:val="auto"/>
                <w:spacing w:val="-1"/>
                <w:sz w:val="24"/>
                <w:szCs w:val="24"/>
              </w:rPr>
              <w:t>行义务，责任区的容貌秩序、环境卫生未达</w:t>
            </w:r>
            <w:r>
              <w:rPr>
                <w:rFonts w:hint="default" w:ascii="Times New Roman" w:hAnsi="Times New Roman" w:eastAsia="方正仿宋简体" w:cs="Times New Roman"/>
                <w:color w:val="auto"/>
                <w:sz w:val="24"/>
                <w:szCs w:val="24"/>
              </w:rPr>
              <w:t xml:space="preserve"> 到有关标准的，予以警告，责令改正</w:t>
            </w:r>
            <w:r>
              <w:rPr>
                <w:rFonts w:hint="default" w:ascii="Times New Roman" w:hAnsi="Times New Roman" w:eastAsia="方正仿宋简体" w:cs="Times New Roman"/>
                <w:color w:val="auto"/>
                <w:position w:val="9"/>
                <w:sz w:val="24"/>
                <w:szCs w:val="24"/>
              </w:rPr>
              <w:t>；</w:t>
            </w:r>
            <w:r>
              <w:rPr>
                <w:rFonts w:hint="default" w:ascii="Times New Roman" w:hAnsi="Times New Roman" w:eastAsia="方正仿宋简体" w:cs="Times New Roman"/>
                <w:color w:val="auto"/>
                <w:spacing w:val="-14"/>
                <w:position w:val="9"/>
                <w:sz w:val="24"/>
                <w:szCs w:val="24"/>
              </w:rPr>
              <w:t xml:space="preserve"> </w:t>
            </w:r>
            <w:r>
              <w:rPr>
                <w:rFonts w:hint="default" w:ascii="Times New Roman" w:hAnsi="Times New Roman" w:eastAsia="方正仿宋简体" w:cs="Times New Roman"/>
                <w:color w:val="auto"/>
                <w:sz w:val="24"/>
                <w:szCs w:val="24"/>
              </w:rPr>
              <w:t>拒不改正的，可以</w:t>
            </w:r>
            <w:r>
              <w:rPr>
                <w:rFonts w:hint="default" w:ascii="Times New Roman" w:hAnsi="Times New Roman" w:eastAsia="方正仿宋简体" w:cs="Times New Roman"/>
                <w:color w:val="auto"/>
                <w:spacing w:val="-1"/>
                <w:sz w:val="24"/>
                <w:szCs w:val="24"/>
              </w:rPr>
              <w:t>对个人处一百元以上二百元以下罚款，对单位处五百元以上二千元以下罚款，或者建议其上级主管部门对直接责任人及其主管人员给予处分。</w:t>
            </w:r>
          </w:p>
          <w:p w14:paraId="571448F8">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号）中“基本清单”的行政处罚第</w:t>
            </w:r>
            <w:r>
              <w:rPr>
                <w:rFonts w:hint="eastAsia" w:ascii="Times New Roman" w:hAnsi="Times New Roman" w:eastAsia="方正仿宋简体" w:cs="Times New Roman"/>
                <w:color w:val="auto"/>
                <w:spacing w:val="-1"/>
                <w:sz w:val="24"/>
                <w:szCs w:val="24"/>
                <w:lang w:val="en-US" w:eastAsia="zh-CN"/>
              </w:rPr>
              <w:t>2项</w:t>
            </w:r>
          </w:p>
          <w:p w14:paraId="73054BB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梓桐镇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71项</w:t>
            </w:r>
          </w:p>
        </w:tc>
        <w:tc>
          <w:tcPr>
            <w:tcW w:w="1034" w:type="dxa"/>
            <w:noWrap w:val="0"/>
            <w:vAlign w:val="center"/>
          </w:tcPr>
          <w:p w14:paraId="50EBF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77E02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E85235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308C0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p>
        </w:tc>
      </w:tr>
      <w:tr w14:paraId="7469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E7B5EF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2E715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1"/>
                <w:sz w:val="24"/>
                <w:szCs w:val="24"/>
              </w:rPr>
            </w:pPr>
            <w:r>
              <w:rPr>
                <w:rFonts w:hint="default" w:ascii="Times New Roman" w:hAnsi="Times New Roman" w:eastAsia="方正仿宋简体" w:cs="Times New Roman"/>
                <w:color w:val="auto"/>
                <w:spacing w:val="-2"/>
                <w:sz w:val="24"/>
                <w:szCs w:val="24"/>
              </w:rPr>
              <w:t>对损坏各类环境卫生设施及附属设施的行政处</w:t>
            </w:r>
            <w:r>
              <w:rPr>
                <w:rFonts w:hint="default" w:ascii="Times New Roman" w:hAnsi="Times New Roman" w:eastAsia="方正仿宋简体" w:cs="Times New Roman"/>
                <w:color w:val="auto"/>
                <w:sz w:val="24"/>
                <w:szCs w:val="24"/>
              </w:rPr>
              <w:t>罚</w:t>
            </w:r>
          </w:p>
        </w:tc>
        <w:tc>
          <w:tcPr>
            <w:tcW w:w="1164" w:type="dxa"/>
            <w:noWrap w:val="0"/>
            <w:vAlign w:val="center"/>
          </w:tcPr>
          <w:p w14:paraId="1954E5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1807E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《城市市容和环境卫生管理条例》第三十八条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损坏各类环境卫生设施及其附</w:t>
            </w:r>
            <w:r>
              <w:rPr>
                <w:rFonts w:hint="default" w:ascii="Times New Roman" w:hAnsi="Times New Roman" w:eastAsia="方正仿宋简体" w:cs="Times New Roman"/>
                <w:color w:val="auto"/>
                <w:spacing w:val="-1"/>
                <w:sz w:val="24"/>
                <w:szCs w:val="24"/>
              </w:rPr>
              <w:t>属设施的，城市人民政府市容环境卫生行政主管部门或者其委托的单位除责令其恢复原状外，可以并处罚款；盗窃、损坏各类环境卫生设施及其附属设施，应当给</w:t>
            </w:r>
            <w:r>
              <w:rPr>
                <w:rFonts w:hint="default" w:ascii="Times New Roman" w:hAnsi="Times New Roman" w:eastAsia="方正仿宋简体" w:cs="Times New Roman"/>
                <w:color w:val="auto"/>
                <w:sz w:val="24"/>
                <w:szCs w:val="24"/>
              </w:rPr>
              <w:t>予治安管理处罚的，依照《中华人民共和国治安管理处罚条例》的</w:t>
            </w:r>
            <w:r>
              <w:rPr>
                <w:rFonts w:hint="default" w:ascii="Times New Roman" w:hAnsi="Times New Roman" w:eastAsia="方正仿宋简体" w:cs="Times New Roman"/>
                <w:color w:val="auto"/>
                <w:spacing w:val="-1"/>
                <w:sz w:val="24"/>
                <w:szCs w:val="24"/>
              </w:rPr>
              <w:t>规定处罚；构成犯罪的，依法追究刑事责任。</w:t>
            </w:r>
          </w:p>
          <w:p w14:paraId="4ACC78B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4项</w:t>
            </w:r>
          </w:p>
        </w:tc>
        <w:tc>
          <w:tcPr>
            <w:tcW w:w="1034" w:type="dxa"/>
            <w:noWrap w:val="0"/>
            <w:vAlign w:val="center"/>
          </w:tcPr>
          <w:p w14:paraId="5102B2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A0A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82222E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5F9331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p>
          <w:p w14:paraId="39E489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05E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12A9B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7FCDAD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对违反摊点卫生管理规定的行政处罚</w:t>
            </w:r>
          </w:p>
        </w:tc>
        <w:tc>
          <w:tcPr>
            <w:tcW w:w="1164" w:type="dxa"/>
            <w:noWrap w:val="0"/>
            <w:vAlign w:val="center"/>
          </w:tcPr>
          <w:p w14:paraId="4F972E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846DFD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《四川省城乡环境综合治理条例》第三十七条第二款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集贸市场内的经营者应</w:t>
            </w:r>
            <w:r>
              <w:rPr>
                <w:rFonts w:hint="default" w:ascii="Times New Roman" w:hAnsi="Times New Roman" w:eastAsia="方正仿宋简体" w:cs="Times New Roman"/>
                <w:color w:val="auto"/>
                <w:spacing w:val="-1"/>
                <w:sz w:val="24"/>
                <w:szCs w:val="24"/>
              </w:rPr>
              <w:t>当保持摊位和经营场所的整洁。餐饮、农产</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品等易产生垃圾的摊位应当配置垃圾收集容器，保持摊点干净和卫生。</w:t>
            </w:r>
          </w:p>
          <w:p w14:paraId="063B733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第三十八条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早市、夜市、摊区、临时农副产品市场应当定时定点经营，保持摊位整洁，收市时应当将垃圾、污渍清理干</w:t>
            </w:r>
            <w:r>
              <w:rPr>
                <w:rFonts w:hint="default" w:ascii="Times New Roman" w:hAnsi="Times New Roman" w:eastAsia="方正仿宋简体" w:cs="Times New Roman"/>
                <w:color w:val="auto"/>
                <w:spacing w:val="6"/>
                <w:sz w:val="24"/>
                <w:szCs w:val="24"/>
              </w:rPr>
              <w:t xml:space="preserve"> </w:t>
            </w:r>
            <w:r>
              <w:rPr>
                <w:rFonts w:hint="default" w:ascii="Times New Roman" w:hAnsi="Times New Roman" w:eastAsia="方正仿宋简体" w:cs="Times New Roman"/>
                <w:color w:val="auto"/>
                <w:spacing w:val="-1"/>
                <w:sz w:val="24"/>
                <w:szCs w:val="24"/>
              </w:rPr>
              <w:t>净。临时饮食摊点应当采取有效措施防止油污、污水和垃圾污染环境。</w:t>
            </w:r>
          </w:p>
          <w:p w14:paraId="187E24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第六十五条第四项</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单位或者个人有下列情形之一的，责令改正或者限期清除；拒不改正或者清除的，依法代为清除，其费用由违法行为人承担。可以并处五十元以上二百元以下罚款</w:t>
            </w:r>
            <w:r>
              <w:rPr>
                <w:rFonts w:hint="default" w:ascii="Times New Roman" w:hAnsi="Times New Roman" w:eastAsia="方正仿宋简体" w:cs="Times New Roman"/>
                <w:color w:val="auto"/>
                <w:spacing w:val="11"/>
                <w:sz w:val="24"/>
                <w:szCs w:val="24"/>
              </w:rPr>
              <w:t>：（</w:t>
            </w:r>
            <w:r>
              <w:rPr>
                <w:rFonts w:hint="default" w:ascii="Times New Roman" w:hAnsi="Times New Roman" w:eastAsia="方正仿宋简体" w:cs="Times New Roman"/>
                <w:color w:val="auto"/>
                <w:spacing w:val="-1"/>
                <w:sz w:val="24"/>
                <w:szCs w:val="24"/>
              </w:rPr>
              <w:t>四）违反本条例</w:t>
            </w:r>
            <w:r>
              <w:rPr>
                <w:rFonts w:hint="default" w:ascii="Times New Roman" w:hAnsi="Times New Roman" w:eastAsia="方正仿宋简体" w:cs="Times New Roman"/>
                <w:color w:val="auto"/>
                <w:spacing w:val="-2"/>
                <w:sz w:val="24"/>
                <w:szCs w:val="24"/>
              </w:rPr>
              <w:t>第三十七条第二款、第三十八条摊点</w:t>
            </w:r>
            <w:r>
              <w:rPr>
                <w:rFonts w:hint="default" w:ascii="Times New Roman" w:hAnsi="Times New Roman" w:eastAsia="方正仿宋简体" w:cs="Times New Roman"/>
                <w:color w:val="auto"/>
                <w:spacing w:val="-3"/>
                <w:sz w:val="24"/>
                <w:szCs w:val="24"/>
              </w:rPr>
              <w:t>卫生管理规定的。</w:t>
            </w:r>
          </w:p>
          <w:p w14:paraId="2EE914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5项</w:t>
            </w:r>
          </w:p>
        </w:tc>
        <w:tc>
          <w:tcPr>
            <w:tcW w:w="1034" w:type="dxa"/>
            <w:noWrap w:val="0"/>
            <w:vAlign w:val="center"/>
          </w:tcPr>
          <w:p w14:paraId="35C9DA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75BA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62FCA2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693C1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45F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EE7F0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3778A1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rPr>
              <w:t>对使用拖拉机、联合收割</w:t>
            </w:r>
            <w:r>
              <w:rPr>
                <w:rFonts w:hint="default" w:ascii="Times New Roman" w:hAnsi="Times New Roman" w:eastAsia="方正仿宋简体" w:cs="Times New Roman"/>
                <w:color w:val="auto"/>
                <w:spacing w:val="-1"/>
                <w:sz w:val="24"/>
                <w:szCs w:val="24"/>
              </w:rPr>
              <w:t>机违反规定载人的行政</w:t>
            </w:r>
            <w:r>
              <w:rPr>
                <w:rFonts w:hint="default" w:ascii="Times New Roman" w:hAnsi="Times New Roman" w:eastAsia="方正仿宋简体" w:cs="Times New Roman"/>
                <w:color w:val="auto"/>
                <w:spacing w:val="-5"/>
                <w:sz w:val="24"/>
                <w:szCs w:val="24"/>
              </w:rPr>
              <w:t>处罚</w:t>
            </w:r>
          </w:p>
        </w:tc>
        <w:tc>
          <w:tcPr>
            <w:tcW w:w="1164" w:type="dxa"/>
            <w:noWrap w:val="0"/>
            <w:vAlign w:val="center"/>
          </w:tcPr>
          <w:p w14:paraId="17000F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277DC191">
            <w:pPr>
              <w:pStyle w:val="7"/>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由县级以上地方人民政府农业机械化主管部门对违法行为人予以批评教育，责令改正；拒不改正的，扣押拖拉机、联合收割机的证书、牌照；情节严重的，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26E2E0E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31项</w:t>
            </w:r>
          </w:p>
        </w:tc>
        <w:tc>
          <w:tcPr>
            <w:tcW w:w="1034" w:type="dxa"/>
            <w:noWrap w:val="0"/>
            <w:vAlign w:val="center"/>
          </w:tcPr>
          <w:p w14:paraId="18DC13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07E4D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2A157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8BCED5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w:t>
            </w:r>
            <w:r>
              <w:rPr>
                <w:rFonts w:hint="default" w:ascii="Times New Roman" w:hAnsi="Times New Roman" w:eastAsia="方正仿宋简体" w:cs="Times New Roman"/>
                <w:color w:val="auto"/>
                <w:sz w:val="24"/>
                <w:szCs w:val="24"/>
                <w:lang w:eastAsia="zh-CN"/>
              </w:rPr>
              <w:t>不含“吊销有关 人员的操作证件”</w:t>
            </w:r>
            <w:r>
              <w:rPr>
                <w:rFonts w:hint="eastAsia" w:ascii="Times New Roman" w:hAnsi="Times New Roman" w:eastAsia="方正仿宋简体" w:cs="Times New Roman"/>
                <w:color w:val="auto"/>
                <w:sz w:val="24"/>
                <w:szCs w:val="24"/>
                <w:lang w:eastAsia="zh-CN"/>
              </w:rPr>
              <w:t>）</w:t>
            </w:r>
          </w:p>
        </w:tc>
      </w:tr>
      <w:tr w14:paraId="710D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364746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74320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6"/>
                <w:sz w:val="24"/>
                <w:szCs w:val="24"/>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164" w:type="dxa"/>
            <w:noWrap w:val="0"/>
            <w:vAlign w:val="center"/>
          </w:tcPr>
          <w:p w14:paraId="340205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91E35E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BD8F2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《四川省&lt;中华人民共和国土地管理法&gt;实施办法》第七十四条　农村村民非法占用土地建住宅的行政处罚权，交由乡镇人民政府行使，跨行政区域和县级以上地方人民政府认为影响较大的案件除外。   </w:t>
            </w:r>
          </w:p>
          <w:p w14:paraId="79DDBE0C">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39项</w:t>
            </w:r>
          </w:p>
          <w:p w14:paraId="3543E3A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梓桐镇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70项</w:t>
            </w:r>
          </w:p>
        </w:tc>
        <w:tc>
          <w:tcPr>
            <w:tcW w:w="1034" w:type="dxa"/>
            <w:noWrap w:val="0"/>
            <w:vAlign w:val="center"/>
          </w:tcPr>
          <w:p w14:paraId="292986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A064D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EA077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719477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7C17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78E8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3FDFCC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对擅自移动或者破坏野生植物保护设施、保护标志的行政处罚</w:t>
            </w:r>
          </w:p>
        </w:tc>
        <w:tc>
          <w:tcPr>
            <w:tcW w:w="1164" w:type="dxa"/>
            <w:noWrap w:val="0"/>
            <w:vAlign w:val="center"/>
          </w:tcPr>
          <w:p w14:paraId="36E3A0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7B68FFF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《四川省野生植物保护条例》第九条第三款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 xml:space="preserve">禁止破坏野生植物生长环境和野生植物保护小区、保护点的保护设施、保护标志。 </w:t>
            </w:r>
          </w:p>
          <w:p w14:paraId="130C4015">
            <w:pPr>
              <w:pStyle w:val="7"/>
              <w:keepNext w:val="0"/>
              <w:keepLines w:val="0"/>
              <w:pageBreakBefore w:val="0"/>
              <w:widowControl w:val="0"/>
              <w:kinsoku/>
              <w:wordWrap/>
              <w:overflowPunct/>
              <w:topLinePunct w:val="0"/>
              <w:autoSpaceDE/>
              <w:autoSpaceDN/>
              <w:bidi w:val="0"/>
              <w:spacing w:line="360" w:lineRule="exact"/>
              <w:ind w:firstLine="480"/>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z w:val="24"/>
                <w:szCs w:val="24"/>
              </w:rPr>
              <w:t>《四川省野生植物保护条例》</w:t>
            </w:r>
            <w:r>
              <w:rPr>
                <w:rFonts w:hint="default" w:ascii="Times New Roman" w:hAnsi="Times New Roman" w:eastAsia="方正仿宋简体" w:cs="Times New Roman"/>
                <w:color w:val="auto"/>
                <w:spacing w:val="-1"/>
                <w:sz w:val="24"/>
                <w:szCs w:val="24"/>
              </w:rPr>
              <w:t>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违反本条例第九条第三款规定，破坏野生植物生长环境的，由县级以上地方人民政府野生植物行政主管部门  责令其停止破坏行为、恢复原状，可并处二千元以上二万元以下的罚款，情节严重的可并处二万元以上五万元以下罚款； 擅自移动或者破坏野生植物保护设施、保护标志的，由县级以上地方人民政府野生植物行政主管部门责令其改正、依法赔偿损失，可并处五百元以上二千元以下的罚款。</w:t>
            </w:r>
          </w:p>
          <w:p w14:paraId="74DB80AF">
            <w:pPr>
              <w:pStyle w:val="7"/>
              <w:keepNext w:val="0"/>
              <w:keepLines w:val="0"/>
              <w:pageBreakBefore w:val="0"/>
              <w:widowControl w:val="0"/>
              <w:kinsoku/>
              <w:wordWrap/>
              <w:overflowPunct/>
              <w:topLinePunct w:val="0"/>
              <w:autoSpaceDE/>
              <w:autoSpaceDN/>
              <w:bidi w:val="0"/>
              <w:spacing w:line="360" w:lineRule="exact"/>
              <w:ind w:firstLine="476" w:firstLineChars="200"/>
              <w:jc w:val="both"/>
              <w:textAlignment w:val="auto"/>
              <w:rPr>
                <w:rFonts w:hint="default" w:ascii="Times New Roman" w:hAnsi="Times New Roman" w:eastAsia="方正仿宋简体" w:cs="Times New Roman"/>
                <w:color w:val="auto"/>
                <w:spacing w:val="-2"/>
                <w:sz w:val="24"/>
                <w:szCs w:val="24"/>
                <w:lang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47项</w:t>
            </w:r>
          </w:p>
        </w:tc>
        <w:tc>
          <w:tcPr>
            <w:tcW w:w="1034" w:type="dxa"/>
            <w:noWrap w:val="0"/>
            <w:vAlign w:val="center"/>
          </w:tcPr>
          <w:p w14:paraId="4024D0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57BA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44303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DC03A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2B00BC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164" w:type="dxa"/>
            <w:noWrap w:val="0"/>
            <w:vAlign w:val="center"/>
          </w:tcPr>
          <w:p w14:paraId="35DAD10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7525F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034"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11C77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111E75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164" w:type="dxa"/>
            <w:noWrap w:val="0"/>
            <w:vAlign w:val="center"/>
          </w:tcPr>
          <w:p w14:paraId="536AD9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73F2D3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034"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E15B5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C6912E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164" w:type="dxa"/>
            <w:noWrap w:val="0"/>
            <w:vAlign w:val="center"/>
          </w:tcPr>
          <w:p w14:paraId="6179E2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87E2D5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 </w:t>
            </w:r>
          </w:p>
        </w:tc>
        <w:tc>
          <w:tcPr>
            <w:tcW w:w="1034"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54862A4">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89A675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164" w:type="dxa"/>
            <w:noWrap w:val="0"/>
            <w:vAlign w:val="center"/>
          </w:tcPr>
          <w:p w14:paraId="1DDE687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062C370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034"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330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0DB3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DF7FAAF">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164" w:type="dxa"/>
            <w:noWrap w:val="0"/>
            <w:vAlign w:val="center"/>
          </w:tcPr>
          <w:p w14:paraId="3544F7F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86B615B">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6FA6AD96">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034" w:type="dxa"/>
            <w:noWrap w:val="0"/>
            <w:vAlign w:val="center"/>
          </w:tcPr>
          <w:p w14:paraId="170542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B83C1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99C1EF3">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347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207395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77AAA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对秸秆禁烧区开展秸秆焚烧现场检查</w:t>
            </w:r>
          </w:p>
        </w:tc>
        <w:tc>
          <w:tcPr>
            <w:tcW w:w="1164" w:type="dxa"/>
            <w:noWrap w:val="0"/>
            <w:vAlign w:val="center"/>
          </w:tcPr>
          <w:p w14:paraId="2BD681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717C625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034" w:type="dxa"/>
            <w:noWrap w:val="0"/>
            <w:vAlign w:val="center"/>
          </w:tcPr>
          <w:p w14:paraId="37A7BC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7F031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D7BAE5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6B99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4FCAC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097552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对水上交通安全的监督检查</w:t>
            </w:r>
          </w:p>
        </w:tc>
        <w:tc>
          <w:tcPr>
            <w:tcW w:w="1164" w:type="dxa"/>
            <w:noWrap w:val="0"/>
            <w:vAlign w:val="center"/>
          </w:tcPr>
          <w:p w14:paraId="64834F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962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0851EE7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034" w:type="dxa"/>
            <w:noWrap w:val="0"/>
            <w:vAlign w:val="center"/>
          </w:tcPr>
          <w:p w14:paraId="4A42D2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4C359F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F1EE2C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C6E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331EA6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E12B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对渡口安全的监督检查</w:t>
            </w:r>
          </w:p>
        </w:tc>
        <w:tc>
          <w:tcPr>
            <w:tcW w:w="1164" w:type="dxa"/>
            <w:noWrap w:val="0"/>
            <w:vAlign w:val="center"/>
          </w:tcPr>
          <w:p w14:paraId="11D927D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4ACFF1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2D9B61B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034" w:type="dxa"/>
            <w:noWrap w:val="0"/>
            <w:vAlign w:val="center"/>
          </w:tcPr>
          <w:p w14:paraId="36C0DF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72FD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11F66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04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FFF9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E44838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对生产经营单位安全生产状况的监督检查</w:t>
            </w:r>
          </w:p>
        </w:tc>
        <w:tc>
          <w:tcPr>
            <w:tcW w:w="1164" w:type="dxa"/>
            <w:noWrap w:val="0"/>
            <w:vAlign w:val="center"/>
          </w:tcPr>
          <w:p w14:paraId="2B3103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4DCE14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3E04AD6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842E1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6C77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C0D92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2FB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FAF18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D4CD3B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对食品安全的监督检查</w:t>
            </w:r>
          </w:p>
        </w:tc>
        <w:tc>
          <w:tcPr>
            <w:tcW w:w="1164" w:type="dxa"/>
            <w:noWrap w:val="0"/>
            <w:vAlign w:val="center"/>
          </w:tcPr>
          <w:p w14:paraId="76CFB6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75606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7C4C3EC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ACF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45B1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95C6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E1E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8C4E3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51B9D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配合开展电信设施建设和保护工作的监督检查</w:t>
            </w:r>
          </w:p>
        </w:tc>
        <w:tc>
          <w:tcPr>
            <w:tcW w:w="1164" w:type="dxa"/>
            <w:noWrap w:val="0"/>
            <w:vAlign w:val="center"/>
          </w:tcPr>
          <w:p w14:paraId="6FF4CC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4278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034" w:type="dxa"/>
            <w:noWrap w:val="0"/>
            <w:vAlign w:val="center"/>
          </w:tcPr>
          <w:p w14:paraId="6CC89F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5599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26F53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711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AE27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F802F6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对消防安全的检查</w:t>
            </w:r>
          </w:p>
        </w:tc>
        <w:tc>
          <w:tcPr>
            <w:tcW w:w="1164" w:type="dxa"/>
            <w:noWrap w:val="0"/>
            <w:vAlign w:val="center"/>
          </w:tcPr>
          <w:p w14:paraId="5FEB2B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352506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5B0F24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034" w:type="dxa"/>
            <w:noWrap w:val="0"/>
            <w:vAlign w:val="center"/>
          </w:tcPr>
          <w:p w14:paraId="6ED1A7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1299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BDB2D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B74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AB86E6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62AD4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164" w:type="dxa"/>
            <w:noWrap w:val="0"/>
            <w:vAlign w:val="center"/>
          </w:tcPr>
          <w:p w14:paraId="5DE9B3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E98A4A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034" w:type="dxa"/>
            <w:noWrap w:val="0"/>
            <w:vAlign w:val="center"/>
          </w:tcPr>
          <w:p w14:paraId="06AC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23FF8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61BF9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38B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1201C8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03BDB2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对地质灾害险情的检查</w:t>
            </w:r>
          </w:p>
        </w:tc>
        <w:tc>
          <w:tcPr>
            <w:tcW w:w="1164" w:type="dxa"/>
            <w:noWrap w:val="0"/>
            <w:vAlign w:val="center"/>
          </w:tcPr>
          <w:p w14:paraId="032F51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7B6261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034" w:type="dxa"/>
            <w:noWrap w:val="0"/>
            <w:vAlign w:val="center"/>
          </w:tcPr>
          <w:p w14:paraId="4E4EE2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A469B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743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C11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FAE086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FDC2D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对乡（镇）、村农村住房建设质量安全的检查</w:t>
            </w:r>
          </w:p>
        </w:tc>
        <w:tc>
          <w:tcPr>
            <w:tcW w:w="1164" w:type="dxa"/>
            <w:noWrap w:val="0"/>
            <w:vAlign w:val="center"/>
          </w:tcPr>
          <w:p w14:paraId="2E3A58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83B705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 </w:t>
            </w:r>
          </w:p>
        </w:tc>
        <w:tc>
          <w:tcPr>
            <w:tcW w:w="1034" w:type="dxa"/>
            <w:noWrap w:val="0"/>
            <w:vAlign w:val="center"/>
          </w:tcPr>
          <w:p w14:paraId="536CA8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9BF0D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A652C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9F8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0946D1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AAEC7F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对预防控制狂犬病工作的督促检查</w:t>
            </w:r>
          </w:p>
        </w:tc>
        <w:tc>
          <w:tcPr>
            <w:tcW w:w="1164" w:type="dxa"/>
            <w:noWrap w:val="0"/>
            <w:vAlign w:val="center"/>
          </w:tcPr>
          <w:p w14:paraId="7EB939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C63D7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034" w:type="dxa"/>
            <w:noWrap w:val="0"/>
            <w:vAlign w:val="center"/>
          </w:tcPr>
          <w:p w14:paraId="12EFFA0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4A71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49623E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CD7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9C95D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5ABBB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对本行政区域内草原保护、建设和利用情况的监督检查</w:t>
            </w:r>
          </w:p>
        </w:tc>
        <w:tc>
          <w:tcPr>
            <w:tcW w:w="1164" w:type="dxa"/>
            <w:noWrap w:val="0"/>
            <w:vAlign w:val="center"/>
          </w:tcPr>
          <w:p w14:paraId="2D14AE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A6FA7A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B1237B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034" w:type="dxa"/>
            <w:noWrap w:val="0"/>
            <w:vAlign w:val="center"/>
          </w:tcPr>
          <w:p w14:paraId="54FE18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CA5C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F4F6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D3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63A2A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44E2EE7">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对农贸市场开展日常巡查</w:t>
            </w:r>
          </w:p>
        </w:tc>
        <w:tc>
          <w:tcPr>
            <w:tcW w:w="1164" w:type="dxa"/>
            <w:noWrap w:val="0"/>
            <w:vAlign w:val="center"/>
          </w:tcPr>
          <w:p w14:paraId="2368113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6D3763B">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eastAsia" w:ascii="Times New Roman" w:hAnsi="Times New Roman" w:eastAsia="方正仿宋简体" w:cs="Times New Roman"/>
                <w:color w:val="auto"/>
                <w:sz w:val="24"/>
                <w:szCs w:val="24"/>
                <w:lang w:eastAsia="zh-CN"/>
              </w:rPr>
              <w:t>《达州市农贸市场管理条例》第六条第三款</w:t>
            </w: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tc>
        <w:tc>
          <w:tcPr>
            <w:tcW w:w="1034" w:type="dxa"/>
            <w:noWrap w:val="0"/>
            <w:vAlign w:val="center"/>
          </w:tcPr>
          <w:p w14:paraId="6F27C1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93316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AB14E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D4C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8AA8C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0CA9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164" w:type="dxa"/>
            <w:noWrap w:val="0"/>
            <w:vAlign w:val="center"/>
          </w:tcPr>
          <w:p w14:paraId="7AA7CA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E68FA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1C6B238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梓桐镇</w:t>
            </w:r>
            <w:r>
              <w:rPr>
                <w:rFonts w:hint="default" w:ascii="Times New Roman" w:hAnsi="Times New Roman" w:eastAsia="方正仿宋简体" w:cs="Times New Roman"/>
                <w:color w:val="auto"/>
                <w:spacing w:val="-1"/>
                <w:sz w:val="24"/>
                <w:szCs w:val="24"/>
                <w:lang w:eastAsia="zh-CN"/>
              </w:rPr>
              <w:t>履行职责事项清单》中“配合履职事项清单”的第</w:t>
            </w:r>
            <w:r>
              <w:rPr>
                <w:rFonts w:hint="default" w:ascii="Times New Roman" w:hAnsi="Times New Roman" w:eastAsia="方正仿宋简体" w:cs="Times New Roman"/>
                <w:color w:val="auto"/>
                <w:spacing w:val="-1"/>
                <w:sz w:val="24"/>
                <w:szCs w:val="24"/>
                <w:lang w:val="en-US" w:eastAsia="zh-CN"/>
              </w:rPr>
              <w:t>4</w:t>
            </w:r>
            <w:r>
              <w:rPr>
                <w:rFonts w:hint="eastAsia" w:ascii="Times New Roman" w:hAnsi="Times New Roman" w:eastAsia="方正仿宋简体" w:cs="Times New Roman"/>
                <w:color w:val="auto"/>
                <w:spacing w:val="-1"/>
                <w:sz w:val="24"/>
                <w:szCs w:val="24"/>
                <w:lang w:val="en-US" w:eastAsia="zh-CN"/>
              </w:rPr>
              <w:t>6</w:t>
            </w:r>
            <w:r>
              <w:rPr>
                <w:rFonts w:hint="default" w:ascii="Times New Roman" w:hAnsi="Times New Roman" w:eastAsia="方正仿宋简体" w:cs="Times New Roman"/>
                <w:color w:val="auto"/>
                <w:spacing w:val="-1"/>
                <w:sz w:val="24"/>
                <w:szCs w:val="24"/>
                <w:lang w:val="en-US" w:eastAsia="zh-CN"/>
              </w:rPr>
              <w:t>项</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72DC83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03C6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4298F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32F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8E1742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38139A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配合开展森林防火检查</w:t>
            </w:r>
          </w:p>
          <w:p w14:paraId="121C0CC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p>
        </w:tc>
        <w:tc>
          <w:tcPr>
            <w:tcW w:w="1164" w:type="dxa"/>
            <w:noWrap w:val="0"/>
            <w:vAlign w:val="center"/>
          </w:tcPr>
          <w:p w14:paraId="73EAF6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CEA3F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《森林防火条例》第二十四条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号）中“基本清单”的行政检查第</w:t>
            </w:r>
            <w:r>
              <w:rPr>
                <w:rFonts w:hint="eastAsia" w:ascii="Times New Roman" w:hAnsi="Times New Roman" w:eastAsia="方正仿宋简体" w:cs="Times New Roman"/>
                <w:color w:val="auto"/>
                <w:spacing w:val="-1"/>
                <w:sz w:val="24"/>
                <w:szCs w:val="24"/>
                <w:lang w:val="en-US" w:eastAsia="zh-CN"/>
              </w:rPr>
              <w:t>6项</w:t>
            </w:r>
          </w:p>
          <w:p w14:paraId="2D171E9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梓桐镇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86项、“配合履职事项清单”的第30项</w:t>
            </w:r>
          </w:p>
        </w:tc>
        <w:tc>
          <w:tcPr>
            <w:tcW w:w="1034" w:type="dxa"/>
            <w:noWrap w:val="0"/>
            <w:vAlign w:val="center"/>
          </w:tcPr>
          <w:p w14:paraId="2BAAC5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555B2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85224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4F0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C15CA4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8E3E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水土保持监督检查</w:t>
            </w:r>
          </w:p>
        </w:tc>
        <w:tc>
          <w:tcPr>
            <w:tcW w:w="1164" w:type="dxa"/>
            <w:noWrap w:val="0"/>
            <w:vAlign w:val="center"/>
          </w:tcPr>
          <w:p w14:paraId="07035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4401A7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2项</w:t>
            </w:r>
          </w:p>
        </w:tc>
        <w:tc>
          <w:tcPr>
            <w:tcW w:w="1034" w:type="dxa"/>
            <w:noWrap w:val="0"/>
            <w:vAlign w:val="center"/>
          </w:tcPr>
          <w:p w14:paraId="37E26A9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3ED92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36409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04E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830942">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F9F9C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对违反农村宅基地管理法律、法规行为的监督检查</w:t>
            </w:r>
          </w:p>
        </w:tc>
        <w:tc>
          <w:tcPr>
            <w:tcW w:w="1164" w:type="dxa"/>
            <w:noWrap w:val="0"/>
            <w:vAlign w:val="center"/>
          </w:tcPr>
          <w:p w14:paraId="1BF38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5项</w:t>
            </w:r>
          </w:p>
          <w:p w14:paraId="1ABA26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kern w:val="0"/>
                <w:sz w:val="24"/>
                <w:szCs w:val="24"/>
                <w:lang w:val="en-US" w:eastAsia="zh-CN" w:bidi="ar-SA"/>
              </w:rPr>
              <w:t xml:space="preserve">  </w:t>
            </w: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中“基本履职事项清单”的第70项</w:t>
            </w:r>
          </w:p>
        </w:tc>
        <w:tc>
          <w:tcPr>
            <w:tcW w:w="1034" w:type="dxa"/>
            <w:noWrap w:val="0"/>
            <w:vAlign w:val="center"/>
          </w:tcPr>
          <w:p w14:paraId="6020FC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00C1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B64F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1E0C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CE28A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59AEF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w:t>
            </w:r>
            <w:r>
              <w:rPr>
                <w:rFonts w:hint="default" w:ascii="Times New Roman" w:hAnsi="Times New Roman" w:eastAsia="方正仿宋简体" w:cs="Times New Roman"/>
                <w:color w:val="auto"/>
                <w:kern w:val="2"/>
                <w:sz w:val="24"/>
                <w:szCs w:val="24"/>
                <w:lang w:val="en-US" w:eastAsia="zh-CN" w:bidi="ar-SA"/>
              </w:rPr>
              <w:t>塘库堰、沟渠、提灌站等小微型农田水利基础设施日常巡查</w:t>
            </w:r>
          </w:p>
        </w:tc>
        <w:tc>
          <w:tcPr>
            <w:tcW w:w="1164" w:type="dxa"/>
            <w:noWrap w:val="0"/>
            <w:vAlign w:val="center"/>
          </w:tcPr>
          <w:p w14:paraId="5569C4C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F5CD36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中“基本履职事项清单”的第44项</w:t>
            </w:r>
          </w:p>
        </w:tc>
        <w:tc>
          <w:tcPr>
            <w:tcW w:w="1034" w:type="dxa"/>
            <w:noWrap w:val="0"/>
            <w:vAlign w:val="center"/>
          </w:tcPr>
          <w:p w14:paraId="1DA18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24243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2F15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基本履职事项</w:t>
            </w:r>
          </w:p>
        </w:tc>
      </w:tr>
      <w:tr w14:paraId="42FA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E5BE13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EF2EFD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1164" w:type="dxa"/>
            <w:noWrap w:val="0"/>
            <w:vAlign w:val="center"/>
          </w:tcPr>
          <w:p w14:paraId="52E179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5485A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088DD1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第6项</w:t>
            </w:r>
          </w:p>
        </w:tc>
        <w:tc>
          <w:tcPr>
            <w:tcW w:w="1034" w:type="dxa"/>
            <w:noWrap w:val="0"/>
            <w:vAlign w:val="center"/>
          </w:tcPr>
          <w:p w14:paraId="1E6161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F11E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454FCE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108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93C13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46A1B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结合日常工作对殡葬领域开展巡查</w:t>
            </w:r>
          </w:p>
        </w:tc>
        <w:tc>
          <w:tcPr>
            <w:tcW w:w="1164" w:type="dxa"/>
            <w:noWrap w:val="0"/>
            <w:vAlign w:val="center"/>
          </w:tcPr>
          <w:p w14:paraId="442CF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68640F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79327DF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第8项</w:t>
            </w:r>
          </w:p>
        </w:tc>
        <w:tc>
          <w:tcPr>
            <w:tcW w:w="1034" w:type="dxa"/>
            <w:noWrap w:val="0"/>
            <w:vAlign w:val="center"/>
          </w:tcPr>
          <w:p w14:paraId="2DC306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09C6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1B16A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454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90B458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C60BC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1164" w:type="dxa"/>
            <w:noWrap w:val="0"/>
            <w:vAlign w:val="center"/>
          </w:tcPr>
          <w:p w14:paraId="10E059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110272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中“配合履职事项清单”的第13项</w:t>
            </w:r>
          </w:p>
        </w:tc>
        <w:tc>
          <w:tcPr>
            <w:tcW w:w="1034" w:type="dxa"/>
            <w:noWrap w:val="0"/>
            <w:vAlign w:val="center"/>
          </w:tcPr>
          <w:p w14:paraId="4571DA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7A100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4AF6B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BD2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4ECD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6A90BA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1164" w:type="dxa"/>
            <w:noWrap w:val="0"/>
            <w:vAlign w:val="center"/>
          </w:tcPr>
          <w:p w14:paraId="2A2189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68B9E8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中“配合履职事项清单”的第17项</w:t>
            </w:r>
          </w:p>
        </w:tc>
        <w:tc>
          <w:tcPr>
            <w:tcW w:w="1034" w:type="dxa"/>
            <w:noWrap w:val="0"/>
            <w:vAlign w:val="center"/>
          </w:tcPr>
          <w:p w14:paraId="719E15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E5F7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072F7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A5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B08EC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48085C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1164" w:type="dxa"/>
            <w:noWrap w:val="0"/>
            <w:vAlign w:val="center"/>
          </w:tcPr>
          <w:p w14:paraId="02C14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3DCF42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中“配合履职事项清单”的第19项</w:t>
            </w:r>
          </w:p>
        </w:tc>
        <w:tc>
          <w:tcPr>
            <w:tcW w:w="1034" w:type="dxa"/>
            <w:noWrap w:val="0"/>
            <w:vAlign w:val="center"/>
          </w:tcPr>
          <w:p w14:paraId="3DE013C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8877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37BA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428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24F11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1ADC4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结合日常工作对动物疫病防控开展巡查</w:t>
            </w:r>
          </w:p>
        </w:tc>
        <w:tc>
          <w:tcPr>
            <w:tcW w:w="1164" w:type="dxa"/>
            <w:noWrap w:val="0"/>
            <w:vAlign w:val="center"/>
          </w:tcPr>
          <w:p w14:paraId="2A98C7D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F17FFE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中“配合履职事项清单”的第20项</w:t>
            </w:r>
          </w:p>
        </w:tc>
        <w:tc>
          <w:tcPr>
            <w:tcW w:w="1034" w:type="dxa"/>
            <w:noWrap w:val="0"/>
            <w:vAlign w:val="center"/>
          </w:tcPr>
          <w:p w14:paraId="441EFD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87A3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C16BD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89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D88619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EBB52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结合日常工作开展校外培训机构巡查</w:t>
            </w:r>
          </w:p>
        </w:tc>
        <w:tc>
          <w:tcPr>
            <w:tcW w:w="1164" w:type="dxa"/>
            <w:noWrap w:val="0"/>
            <w:vAlign w:val="center"/>
          </w:tcPr>
          <w:p w14:paraId="5455C2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6F6B71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中“配合履职事项清单”的第23项</w:t>
            </w:r>
          </w:p>
        </w:tc>
        <w:tc>
          <w:tcPr>
            <w:tcW w:w="1034" w:type="dxa"/>
            <w:noWrap w:val="0"/>
            <w:vAlign w:val="center"/>
          </w:tcPr>
          <w:p w14:paraId="5E0E2C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4B3C3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A9212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0F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8AE4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53596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配合开展校园周边安全宣传教育、安</w:t>
            </w:r>
          </w:p>
          <w:p w14:paraId="02B1DE5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全检查和隐患排查</w:t>
            </w:r>
          </w:p>
        </w:tc>
        <w:tc>
          <w:tcPr>
            <w:tcW w:w="1164" w:type="dxa"/>
            <w:noWrap w:val="0"/>
            <w:vAlign w:val="center"/>
          </w:tcPr>
          <w:p w14:paraId="2AB3DD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C22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中“配合履职事项清单”的第26项</w:t>
            </w:r>
          </w:p>
        </w:tc>
        <w:tc>
          <w:tcPr>
            <w:tcW w:w="1034" w:type="dxa"/>
            <w:noWrap w:val="0"/>
            <w:vAlign w:val="center"/>
          </w:tcPr>
          <w:p w14:paraId="60625E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29A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796090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02E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38BDE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60A202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结合日常工作进行古树名木巡查</w:t>
            </w:r>
          </w:p>
        </w:tc>
        <w:tc>
          <w:tcPr>
            <w:tcW w:w="1164" w:type="dxa"/>
            <w:noWrap w:val="0"/>
            <w:vAlign w:val="center"/>
          </w:tcPr>
          <w:p w14:paraId="4C6BC8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CD0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中“配合履职事项清单”的第28项</w:t>
            </w:r>
          </w:p>
        </w:tc>
        <w:tc>
          <w:tcPr>
            <w:tcW w:w="1034" w:type="dxa"/>
            <w:noWrap w:val="0"/>
            <w:vAlign w:val="center"/>
          </w:tcPr>
          <w:p w14:paraId="731D11B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357C1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1178D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694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2D74D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D327AA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结合日常工作开展耕地巡查、卫片图斑核</w:t>
            </w:r>
          </w:p>
          <w:p w14:paraId="245C899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查。</w:t>
            </w:r>
          </w:p>
        </w:tc>
        <w:tc>
          <w:tcPr>
            <w:tcW w:w="1164" w:type="dxa"/>
            <w:noWrap w:val="0"/>
            <w:vAlign w:val="center"/>
          </w:tcPr>
          <w:p w14:paraId="6C7023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9579D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中“配合履职事项清单”的第32项</w:t>
            </w:r>
          </w:p>
        </w:tc>
        <w:tc>
          <w:tcPr>
            <w:tcW w:w="1034" w:type="dxa"/>
            <w:noWrap w:val="0"/>
            <w:vAlign w:val="center"/>
          </w:tcPr>
          <w:p w14:paraId="75A83E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5630BD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D405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35F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29CEA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37A16F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结合日常工作开展取用水日常检查</w:t>
            </w:r>
          </w:p>
        </w:tc>
        <w:tc>
          <w:tcPr>
            <w:tcW w:w="1164" w:type="dxa"/>
            <w:noWrap w:val="0"/>
            <w:vAlign w:val="center"/>
          </w:tcPr>
          <w:p w14:paraId="04E11A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1219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中“配合履职事项清单”的第34项</w:t>
            </w:r>
          </w:p>
        </w:tc>
        <w:tc>
          <w:tcPr>
            <w:tcW w:w="1034" w:type="dxa"/>
            <w:noWrap w:val="0"/>
            <w:vAlign w:val="center"/>
          </w:tcPr>
          <w:p w14:paraId="2BA8A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6D46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99AC9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6A6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5EFAC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90DD00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对农村污水、农村黑臭水体、入河排</w:t>
            </w:r>
          </w:p>
          <w:p w14:paraId="216A1EB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污口等进行日常摸排巡查</w:t>
            </w:r>
          </w:p>
        </w:tc>
        <w:tc>
          <w:tcPr>
            <w:tcW w:w="1164" w:type="dxa"/>
            <w:noWrap w:val="0"/>
            <w:vAlign w:val="center"/>
          </w:tcPr>
          <w:p w14:paraId="369AD8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126B8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中“配合履职事项清单”的第39项</w:t>
            </w:r>
          </w:p>
        </w:tc>
        <w:tc>
          <w:tcPr>
            <w:tcW w:w="1034" w:type="dxa"/>
            <w:noWrap w:val="0"/>
            <w:vAlign w:val="center"/>
          </w:tcPr>
          <w:p w14:paraId="566CDA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9F58B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9AB71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F5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6A1AE1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D633C9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结合日常工作开展固体废物污染日常巡查</w:t>
            </w:r>
          </w:p>
        </w:tc>
        <w:tc>
          <w:tcPr>
            <w:tcW w:w="1164" w:type="dxa"/>
            <w:noWrap w:val="0"/>
            <w:vAlign w:val="center"/>
          </w:tcPr>
          <w:p w14:paraId="73641B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78887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中“配合履职事项清单”的第40项</w:t>
            </w:r>
          </w:p>
        </w:tc>
        <w:tc>
          <w:tcPr>
            <w:tcW w:w="1034" w:type="dxa"/>
            <w:noWrap w:val="0"/>
            <w:vAlign w:val="center"/>
          </w:tcPr>
          <w:p w14:paraId="26B627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E347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B91C1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BBB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BF2D7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96FD5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1164" w:type="dxa"/>
            <w:noWrap w:val="0"/>
            <w:vAlign w:val="center"/>
          </w:tcPr>
          <w:p w14:paraId="0E95E6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5CC7A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中“配合履职事项清单”的第41项</w:t>
            </w:r>
          </w:p>
        </w:tc>
        <w:tc>
          <w:tcPr>
            <w:tcW w:w="1034" w:type="dxa"/>
            <w:noWrap w:val="0"/>
            <w:vAlign w:val="center"/>
          </w:tcPr>
          <w:p w14:paraId="74A9285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AF9F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57C2A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1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8D8F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AD6E81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结合日常工作对土壤污染防治开展巡查</w:t>
            </w:r>
          </w:p>
        </w:tc>
        <w:tc>
          <w:tcPr>
            <w:tcW w:w="1164" w:type="dxa"/>
            <w:noWrap w:val="0"/>
            <w:vAlign w:val="center"/>
          </w:tcPr>
          <w:p w14:paraId="397D5A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73C1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中“配合履职事项清单”的第42项</w:t>
            </w:r>
          </w:p>
        </w:tc>
        <w:tc>
          <w:tcPr>
            <w:tcW w:w="1034" w:type="dxa"/>
            <w:noWrap w:val="0"/>
            <w:vAlign w:val="center"/>
          </w:tcPr>
          <w:p w14:paraId="284F8F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E9E51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C5915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B41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492D65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6EBE4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结合日常工作开展噪声污染防治日常巡查</w:t>
            </w:r>
          </w:p>
        </w:tc>
        <w:tc>
          <w:tcPr>
            <w:tcW w:w="1164" w:type="dxa"/>
            <w:noWrap w:val="0"/>
            <w:vAlign w:val="center"/>
          </w:tcPr>
          <w:p w14:paraId="1582F8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F52DE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中“配合履职事项清单”的第43项</w:t>
            </w:r>
          </w:p>
        </w:tc>
        <w:tc>
          <w:tcPr>
            <w:tcW w:w="1034" w:type="dxa"/>
            <w:noWrap w:val="0"/>
            <w:vAlign w:val="center"/>
          </w:tcPr>
          <w:p w14:paraId="3DCCF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851C9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C1D5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486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 w:hRule="atLeast"/>
          <w:jc w:val="center"/>
        </w:trPr>
        <w:tc>
          <w:tcPr>
            <w:tcW w:w="494" w:type="dxa"/>
            <w:noWrap w:val="0"/>
            <w:vAlign w:val="center"/>
          </w:tcPr>
          <w:p w14:paraId="4A3F771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10054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对畜禽规模养殖污染防治开展排查</w:t>
            </w:r>
          </w:p>
        </w:tc>
        <w:tc>
          <w:tcPr>
            <w:tcW w:w="1164" w:type="dxa"/>
            <w:noWrap w:val="0"/>
            <w:vAlign w:val="center"/>
          </w:tcPr>
          <w:p w14:paraId="0B50D4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940D2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中“配合履职事项清单”的第45项</w:t>
            </w:r>
          </w:p>
        </w:tc>
        <w:tc>
          <w:tcPr>
            <w:tcW w:w="1034" w:type="dxa"/>
            <w:noWrap w:val="0"/>
            <w:vAlign w:val="center"/>
          </w:tcPr>
          <w:p w14:paraId="541E7D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DF108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85E6A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8EC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B4D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0BFF68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1164" w:type="dxa"/>
            <w:noWrap w:val="0"/>
            <w:vAlign w:val="center"/>
          </w:tcPr>
          <w:p w14:paraId="5B0148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5496E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中“配合履职事项清单”的第49项</w:t>
            </w:r>
          </w:p>
        </w:tc>
        <w:tc>
          <w:tcPr>
            <w:tcW w:w="1034" w:type="dxa"/>
            <w:noWrap w:val="0"/>
            <w:vAlign w:val="center"/>
          </w:tcPr>
          <w:p w14:paraId="4350ED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971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5445A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AD2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F34A64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94D480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结合日常工作开展“两违”（ 违法用地、违</w:t>
            </w:r>
          </w:p>
          <w:p w14:paraId="2E807AB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法建设）巡查</w:t>
            </w:r>
          </w:p>
        </w:tc>
        <w:tc>
          <w:tcPr>
            <w:tcW w:w="1164" w:type="dxa"/>
            <w:noWrap w:val="0"/>
            <w:vAlign w:val="center"/>
          </w:tcPr>
          <w:p w14:paraId="5E2E5A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8A96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中“配合履职事项清单”的第50项</w:t>
            </w:r>
          </w:p>
        </w:tc>
        <w:tc>
          <w:tcPr>
            <w:tcW w:w="1034" w:type="dxa"/>
            <w:noWrap w:val="0"/>
            <w:vAlign w:val="center"/>
          </w:tcPr>
          <w:p w14:paraId="792446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73C53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5280F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217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CA2BE6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3F51A0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1164" w:type="dxa"/>
            <w:shd w:val="clear" w:color="auto" w:fill="auto"/>
            <w:noWrap w:val="0"/>
            <w:vAlign w:val="center"/>
          </w:tcPr>
          <w:p w14:paraId="21EC93A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shd w:val="clear" w:color="auto" w:fill="auto"/>
            <w:noWrap w:val="0"/>
            <w:vAlign w:val="center"/>
          </w:tcPr>
          <w:p w14:paraId="3217FD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中“配合履职事项清单”的第51项</w:t>
            </w:r>
          </w:p>
        </w:tc>
        <w:tc>
          <w:tcPr>
            <w:tcW w:w="1034" w:type="dxa"/>
            <w:shd w:val="clear" w:color="auto" w:fill="auto"/>
            <w:noWrap w:val="0"/>
            <w:vAlign w:val="center"/>
          </w:tcPr>
          <w:p w14:paraId="3FC7912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shd w:val="clear" w:color="auto" w:fill="auto"/>
            <w:noWrap w:val="0"/>
            <w:vAlign w:val="center"/>
          </w:tcPr>
          <w:p w14:paraId="59809FF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shd w:val="clear" w:color="auto" w:fill="auto"/>
            <w:noWrap w:val="0"/>
            <w:vAlign w:val="center"/>
          </w:tcPr>
          <w:p w14:paraId="4794DE0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eastAsia="zh-CN"/>
              </w:rPr>
              <w:t>配合履职事项</w:t>
            </w:r>
          </w:p>
        </w:tc>
      </w:tr>
      <w:tr w14:paraId="1E39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6D114B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FBDF4A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配合开展寄递行业联合巡查</w:t>
            </w:r>
          </w:p>
        </w:tc>
        <w:tc>
          <w:tcPr>
            <w:tcW w:w="1164" w:type="dxa"/>
            <w:noWrap w:val="0"/>
            <w:vAlign w:val="center"/>
          </w:tcPr>
          <w:p w14:paraId="38A7D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C6D93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中“配合履职事项清单”的第56项</w:t>
            </w:r>
          </w:p>
        </w:tc>
        <w:tc>
          <w:tcPr>
            <w:tcW w:w="1034" w:type="dxa"/>
            <w:noWrap w:val="0"/>
            <w:vAlign w:val="center"/>
          </w:tcPr>
          <w:p w14:paraId="72ED6F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2DC24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4FF36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F3F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11BE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BC7CE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结合日常工作开展文物保护巡查</w:t>
            </w:r>
          </w:p>
        </w:tc>
        <w:tc>
          <w:tcPr>
            <w:tcW w:w="1164" w:type="dxa"/>
            <w:noWrap w:val="0"/>
            <w:vAlign w:val="center"/>
          </w:tcPr>
          <w:p w14:paraId="24D7C5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6F3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中“配合履职事项清单”的第58项</w:t>
            </w:r>
          </w:p>
        </w:tc>
        <w:tc>
          <w:tcPr>
            <w:tcW w:w="1034" w:type="dxa"/>
            <w:noWrap w:val="0"/>
            <w:vAlign w:val="center"/>
          </w:tcPr>
          <w:p w14:paraId="4CE1B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92CFF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1831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C8D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705E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8DB52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1164" w:type="dxa"/>
            <w:noWrap w:val="0"/>
            <w:vAlign w:val="center"/>
          </w:tcPr>
          <w:p w14:paraId="3DECE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B57C7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中“配合履职事项清单”的第59项</w:t>
            </w:r>
          </w:p>
        </w:tc>
        <w:tc>
          <w:tcPr>
            <w:tcW w:w="1034" w:type="dxa"/>
            <w:noWrap w:val="0"/>
            <w:vAlign w:val="center"/>
          </w:tcPr>
          <w:p w14:paraId="2CB4C2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D24B0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6C2EC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D73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734919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FAD3593">
            <w:pPr>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结合日常工作对景区、景点进行安全检查</w:t>
            </w:r>
          </w:p>
        </w:tc>
        <w:tc>
          <w:tcPr>
            <w:tcW w:w="1164" w:type="dxa"/>
            <w:noWrap w:val="0"/>
            <w:vAlign w:val="center"/>
          </w:tcPr>
          <w:p w14:paraId="513A84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959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中“配合履职事项清单”的第60项</w:t>
            </w:r>
          </w:p>
        </w:tc>
        <w:tc>
          <w:tcPr>
            <w:tcW w:w="1034" w:type="dxa"/>
            <w:noWrap w:val="0"/>
            <w:vAlign w:val="center"/>
          </w:tcPr>
          <w:p w14:paraId="174A462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1D2BD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B1E4D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B6E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556AA5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35173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结合日常工作开展电动车“飞线充电”巡查</w:t>
            </w:r>
          </w:p>
        </w:tc>
        <w:tc>
          <w:tcPr>
            <w:tcW w:w="1164" w:type="dxa"/>
            <w:noWrap w:val="0"/>
            <w:vAlign w:val="center"/>
          </w:tcPr>
          <w:p w14:paraId="300CBE0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C05DD1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中“配合履职事项清单”的第63项</w:t>
            </w:r>
          </w:p>
        </w:tc>
        <w:tc>
          <w:tcPr>
            <w:tcW w:w="1034" w:type="dxa"/>
            <w:noWrap w:val="0"/>
            <w:vAlign w:val="center"/>
          </w:tcPr>
          <w:p w14:paraId="6721D3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FE180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2B2D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3CC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65EBB0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149B99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结合日常工作开展充电基础设施安全巡查</w:t>
            </w:r>
          </w:p>
        </w:tc>
        <w:tc>
          <w:tcPr>
            <w:tcW w:w="1164" w:type="dxa"/>
            <w:noWrap w:val="0"/>
            <w:vAlign w:val="center"/>
          </w:tcPr>
          <w:p w14:paraId="6D27DA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4036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中“配合履职事项清单”的第64项</w:t>
            </w:r>
          </w:p>
        </w:tc>
        <w:tc>
          <w:tcPr>
            <w:tcW w:w="1034" w:type="dxa"/>
            <w:noWrap w:val="0"/>
            <w:vAlign w:val="center"/>
          </w:tcPr>
          <w:p w14:paraId="168AFA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8A3B8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98AFE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2A7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74ABE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760471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1164" w:type="dxa"/>
            <w:noWrap w:val="0"/>
            <w:vAlign w:val="center"/>
          </w:tcPr>
          <w:p w14:paraId="21A98E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D2A0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中“配合履职事项清单”的第66项</w:t>
            </w:r>
          </w:p>
        </w:tc>
        <w:tc>
          <w:tcPr>
            <w:tcW w:w="1034" w:type="dxa"/>
            <w:noWrap w:val="0"/>
            <w:vAlign w:val="center"/>
          </w:tcPr>
          <w:p w14:paraId="6676ED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361B3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36F25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3B3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4D621F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DFA232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1164" w:type="dxa"/>
            <w:noWrap w:val="0"/>
            <w:vAlign w:val="center"/>
          </w:tcPr>
          <w:p w14:paraId="0B473E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8EE5B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中“配合履职事项清单”的第67项</w:t>
            </w:r>
          </w:p>
        </w:tc>
        <w:tc>
          <w:tcPr>
            <w:tcW w:w="1034" w:type="dxa"/>
            <w:noWrap w:val="0"/>
            <w:vAlign w:val="center"/>
          </w:tcPr>
          <w:p w14:paraId="568779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66EA7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2E3BB5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26A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8A09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186EAE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1164" w:type="dxa"/>
            <w:noWrap w:val="0"/>
            <w:vAlign w:val="center"/>
          </w:tcPr>
          <w:p w14:paraId="42CEBA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35FE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中“配合履职事项清单”的第68项</w:t>
            </w:r>
          </w:p>
        </w:tc>
        <w:tc>
          <w:tcPr>
            <w:tcW w:w="1034" w:type="dxa"/>
            <w:noWrap w:val="0"/>
            <w:vAlign w:val="center"/>
          </w:tcPr>
          <w:p w14:paraId="0CFF79D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FE86B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5933AE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34B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FC2DB5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5106FAF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1164" w:type="dxa"/>
            <w:shd w:val="clear" w:color="auto" w:fill="auto"/>
            <w:noWrap w:val="0"/>
            <w:vAlign w:val="center"/>
          </w:tcPr>
          <w:p w14:paraId="196526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882" w:type="dxa"/>
            <w:noWrap w:val="0"/>
            <w:vAlign w:val="center"/>
          </w:tcPr>
          <w:p w14:paraId="2979F1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中“配合履职事项清单”的第72项</w:t>
            </w:r>
          </w:p>
        </w:tc>
        <w:tc>
          <w:tcPr>
            <w:tcW w:w="1034" w:type="dxa"/>
            <w:noWrap w:val="0"/>
            <w:vAlign w:val="center"/>
          </w:tcPr>
          <w:p w14:paraId="4076A6F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0D452B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A36802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5D4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71B263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34185AA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1164" w:type="dxa"/>
            <w:shd w:val="clear" w:color="auto" w:fill="auto"/>
            <w:noWrap w:val="0"/>
            <w:vAlign w:val="center"/>
          </w:tcPr>
          <w:p w14:paraId="141D1A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882" w:type="dxa"/>
            <w:noWrap w:val="0"/>
            <w:vAlign w:val="center"/>
          </w:tcPr>
          <w:p w14:paraId="258AE5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中“配合履职事项清单”的第73项</w:t>
            </w:r>
          </w:p>
        </w:tc>
        <w:tc>
          <w:tcPr>
            <w:tcW w:w="1034" w:type="dxa"/>
            <w:noWrap w:val="0"/>
            <w:vAlign w:val="center"/>
          </w:tcPr>
          <w:p w14:paraId="6DD7EE4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D456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3D01C7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B25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B67C58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67CD0BD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1164" w:type="dxa"/>
            <w:shd w:val="clear" w:color="auto" w:fill="auto"/>
            <w:noWrap w:val="0"/>
            <w:vAlign w:val="center"/>
          </w:tcPr>
          <w:p w14:paraId="0E7CE2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882" w:type="dxa"/>
            <w:noWrap w:val="0"/>
            <w:vAlign w:val="center"/>
          </w:tcPr>
          <w:p w14:paraId="0A9952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中“配合履职事项清单”的第74项</w:t>
            </w:r>
          </w:p>
        </w:tc>
        <w:tc>
          <w:tcPr>
            <w:tcW w:w="1034" w:type="dxa"/>
            <w:noWrap w:val="0"/>
            <w:vAlign w:val="center"/>
          </w:tcPr>
          <w:p w14:paraId="00026AC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49A57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A205DA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347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2D5AD8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09045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结合日常工作对传销、违规直销开展巡查</w:t>
            </w:r>
          </w:p>
        </w:tc>
        <w:tc>
          <w:tcPr>
            <w:tcW w:w="1164" w:type="dxa"/>
            <w:noWrap w:val="0"/>
            <w:vAlign w:val="center"/>
          </w:tcPr>
          <w:p w14:paraId="6C20AC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10080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梓桐镇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中“配合履职事项清单”的第79项</w:t>
            </w:r>
          </w:p>
        </w:tc>
        <w:tc>
          <w:tcPr>
            <w:tcW w:w="1034" w:type="dxa"/>
            <w:noWrap w:val="0"/>
            <w:vAlign w:val="center"/>
          </w:tcPr>
          <w:p w14:paraId="5AA55C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3D884E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梓桐镇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F65A4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bl>
    <w:p w14:paraId="6D92F3D0">
      <w:pPr>
        <w:ind w:firstLine="480" w:firstLineChars="200"/>
        <w:rPr>
          <w:rFonts w:hint="eastAsia" w:ascii="Times New Roman" w:hAnsi="Times New Roman" w:cs="Times New Roman"/>
          <w:i w:val="0"/>
          <w:iCs w:val="0"/>
          <w:caps w:val="0"/>
          <w:color w:val="auto"/>
          <w:spacing w:val="0"/>
          <w:sz w:val="24"/>
          <w:szCs w:val="24"/>
          <w:shd w:val="clear" w:color="auto" w:fill="FFFFFF"/>
          <w:lang w:val="en-US" w:eastAsia="zh-CN"/>
        </w:rPr>
      </w:pPr>
    </w:p>
    <w:p w14:paraId="2C243592">
      <w:pPr>
        <w:ind w:firstLine="480" w:firstLineChars="200"/>
        <w:rPr>
          <w:rFonts w:hint="eastAsia" w:ascii="Times New Roman" w:hAnsi="Times New Roman" w:eastAsia="方正小标宋简体"/>
          <w:color w:val="auto"/>
          <w:sz w:val="44"/>
          <w:szCs w:val="44"/>
          <w:lang w:val="en-US" w:eastAsia="zh-CN"/>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2394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791811">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791811">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F1277">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F118E"/>
    <w:multiLevelType w:val="singleLevel"/>
    <w:tmpl w:val="951F118E"/>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31D63"/>
    <w:rsid w:val="09770117"/>
    <w:rsid w:val="0C0A7D34"/>
    <w:rsid w:val="117A14B8"/>
    <w:rsid w:val="1700420E"/>
    <w:rsid w:val="1EC60D2A"/>
    <w:rsid w:val="2166459E"/>
    <w:rsid w:val="22AE1178"/>
    <w:rsid w:val="22EA2355"/>
    <w:rsid w:val="258F46FA"/>
    <w:rsid w:val="2B7042D3"/>
    <w:rsid w:val="2C394EAF"/>
    <w:rsid w:val="2E631D63"/>
    <w:rsid w:val="2E7867C9"/>
    <w:rsid w:val="2F4F682D"/>
    <w:rsid w:val="3B46499C"/>
    <w:rsid w:val="3D005C08"/>
    <w:rsid w:val="3F220103"/>
    <w:rsid w:val="419F41EC"/>
    <w:rsid w:val="45C142B9"/>
    <w:rsid w:val="48AD6406"/>
    <w:rsid w:val="51E15B62"/>
    <w:rsid w:val="531C21B5"/>
    <w:rsid w:val="5AB905DC"/>
    <w:rsid w:val="633004FD"/>
    <w:rsid w:val="67EB36AC"/>
    <w:rsid w:val="70446678"/>
    <w:rsid w:val="7E3D5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basedOn w:val="4"/>
    <w:qFormat/>
    <w:uiPriority w:val="0"/>
    <w:rPr>
      <w:rFonts w:ascii="Times New Roman" w:hAnsi="Times New Roman"/>
    </w:rPr>
    <w:tblPr>
      <w:tblCellMar>
        <w:left w:w="0" w:type="dxa"/>
        <w:right w:w="0" w:type="dxa"/>
      </w:tblCellMar>
    </w:tblPr>
  </w:style>
  <w:style w:type="paragraph" w:customStyle="1" w:styleId="7">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11600</Words>
  <Characters>11721</Characters>
  <Lines>0</Lines>
  <Paragraphs>0</Paragraphs>
  <TotalTime>0</TotalTime>
  <ScaleCrop>false</ScaleCrop>
  <LinksUpToDate>false</LinksUpToDate>
  <CharactersWithSpaces>11981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2025-09-01T05:37:00Z</dcterms:created>
  <dc:creator>繁花似锦</dc:creator>
  <cp:lastModifiedBy>繁花似锦</cp:lastModifiedBy>
  <dcterms:modified xsi:type="dcterms:W3CDTF">2025-10-09T01:51:08Z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74F986583CCD47A1B4A3ABFC2499F4F2_13</vt:lpwstr>
  </property>
  <property fmtid="{D5CDD505-2E9C-101B-9397-08002B2CF9AE}" pid="4" name="KSOTemplateDocerSaveRecord">
    <vt:lpwstr>eyJoZGlkIjoiZTBiNzFjYjhjZTQ1MDU0OGIwMDA2ZjM1ZmNjNDgzN2MiLCJ1c2VySWQiOiI0Mjc2NzQwNTgifQ==</vt:lpwstr>
  </property>
</Properties>
</file>